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rFonts w:ascii="黑体" w:hAnsi="黑体" w:eastAsia="黑体"/>
          <w:b/>
          <w:color w:val="000000"/>
          <w:sz w:val="40"/>
        </w:rPr>
        <w:t>《人像资产授权与使用三方协议》补充协议</w:t>
      </w:r>
    </w:p>
    <w:p>
      <w:pPr>
        <w:keepLines/>
        <w:widowControl/>
        <w:spacing w:before="0" w:after="200" w:line="276" w:lineRule="auto"/>
        <w:ind w:firstLine="0"/>
        <w:jc w:val="center"/>
      </w:pPr>
      <w:r>
        <w:rPr>
          <w:rFonts w:ascii="华文仿宋" w:hAnsi="华文仿宋" w:eastAsia="华文仿宋"/>
          <w:b/>
          <w:color w:val="000000"/>
          <w:sz w:val="28"/>
        </w:rPr>
        <w:t>（项目名称更正）</w:t>
      </w:r>
    </w:p>
    <w:p>
      <w:pPr>
        <w:keepLines/>
        <w:widowControl/>
        <w:spacing w:before="0" w:after="40" w:line="276" w:lineRule="auto"/>
        <w:ind w:firstLine="0"/>
        <w:jc w:val="left"/>
      </w:pPr>
      <w:r>
        <w:rPr>
          <w:rFonts w:ascii="华文仿宋" w:hAnsi="华文仿宋" w:eastAsia="华文仿宋"/>
          <w:b/>
          <w:color w:val="000000"/>
          <w:sz w:val="28"/>
        </w:rPr>
        <w:t>甲方（人像使用方）：</w:t>
      </w:r>
      <w:r>
        <w:rPr>
          <w:rFonts w:ascii="华文仿宋" w:hAnsi="华文仿宋" w:eastAsia="华文仿宋"/>
          <w:color w:val="000000"/>
          <w:sz w:val="28"/>
        </w:rPr>
        <w:t>（以乙方平台账号及记录为准）</w:t>
      </w:r>
    </w:p>
    <w:p>
      <w:pPr>
        <w:keepLines/>
        <w:widowControl/>
        <w:spacing w:before="0" w:after="40" w:line="276" w:lineRule="auto"/>
        <w:ind w:firstLine="0"/>
        <w:jc w:val="left"/>
      </w:pPr>
      <w:r>
        <w:rPr>
          <w:rFonts w:ascii="华文仿宋" w:hAnsi="华文仿宋" w:eastAsia="华文仿宋"/>
          <w:b/>
          <w:color w:val="000000"/>
          <w:sz w:val="28"/>
        </w:rPr>
        <w:t>乙方（平台方）：</w:t>
      </w:r>
      <w:r>
        <w:rPr>
          <w:rFonts w:ascii="华文仿宋" w:hAnsi="华文仿宋" w:eastAsia="华文仿宋"/>
          <w:color w:val="000000"/>
          <w:sz w:val="28"/>
        </w:rPr>
        <w:t>成都新爪文化科技有限公司</w:t>
      </w:r>
    </w:p>
    <w:p>
      <w:pPr>
        <w:keepLines/>
        <w:widowControl/>
        <w:spacing w:before="0" w:after="40" w:line="276" w:lineRule="auto"/>
        <w:ind w:firstLine="0"/>
        <w:jc w:val="left"/>
      </w:pPr>
      <w:r>
        <w:rPr>
          <w:rFonts w:ascii="华文仿宋" w:hAnsi="华文仿宋" w:eastAsia="华文仿宋"/>
          <w:b/>
          <w:color w:val="000000"/>
          <w:sz w:val="28"/>
        </w:rPr>
        <w:t>丙方（人像授权方）：</w:t>
      </w:r>
      <w:r>
        <w:rPr>
          <w:rFonts w:ascii="华文仿宋" w:hAnsi="华文仿宋" w:eastAsia="华文仿宋"/>
          <w:color w:val="000000"/>
          <w:sz w:val="28"/>
        </w:rPr>
        <w:t>（以乙方平台入驻信息及记录为准）</w:t>
      </w:r>
    </w:p>
    <w:p>
      <w:pPr>
        <w:keepLines/>
        <w:widowControl/>
        <w:spacing w:before="140" w:after="80" w:line="276" w:lineRule="auto"/>
        <w:ind w:firstLine="0"/>
        <w:jc w:val="both"/>
      </w:pPr>
      <w:r>
        <w:rPr>
          <w:rFonts w:ascii="华文仿宋" w:hAnsi="华文仿宋" w:eastAsia="华文仿宋"/>
          <w:b/>
          <w:color w:val="000000"/>
          <w:sz w:val="28"/>
        </w:rPr>
        <w:t>鉴于：</w:t>
      </w:r>
    </w:p>
    <w:p>
      <w:pPr>
        <w:keepLines/>
        <w:widowControl/>
        <w:spacing w:before="0" w:after="80" w:line="276" w:lineRule="auto"/>
        <w:ind w:firstLine="560"/>
        <w:jc w:val="both"/>
      </w:pPr>
      <w:r>
        <w:rPr>
          <w:rFonts w:ascii="华文仿宋" w:hAnsi="华文仿宋" w:eastAsia="华文仿宋"/>
          <w:b w:val="0"/>
          <w:color w:val="000000"/>
          <w:sz w:val="28"/>
        </w:rPr>
        <w:t>甲、乙、丙三方已就订单</w:t>
      </w:r>
      <w:r>
        <w:rPr>
          <w:rFonts w:ascii="华文仿宋" w:hAnsi="华文仿宋" w:eastAsia="华文仿宋"/>
          <w:b/>
          <w:color w:val="000000"/>
          <w:sz w:val="28"/>
        </w:rPr>
        <w:t>【订单编号/原协议编号】</w:t>
      </w:r>
      <w:r>
        <w:rPr>
          <w:rFonts w:ascii="华文仿宋" w:hAnsi="华文仿宋" w:eastAsia="华文仿宋"/>
          <w:b w:val="0"/>
          <w:color w:val="000000"/>
          <w:sz w:val="28"/>
        </w:rPr>
        <w:t>通过乙方平台签署《人像资产授权与使用三方协议》（以下简称“原协议”）。甲方在购买后填写授权信息时，将项目名称误填为</w:t>
      </w:r>
      <w:r>
        <w:rPr>
          <w:rFonts w:ascii="华文仿宋" w:hAnsi="华文仿宋" w:eastAsia="华文仿宋"/>
          <w:b/>
          <w:color w:val="000000"/>
          <w:sz w:val="28"/>
        </w:rPr>
        <w:t>【错误项目名称】</w:t>
      </w:r>
      <w:r>
        <w:rPr>
          <w:rFonts w:ascii="华文仿宋" w:hAnsi="华文仿宋" w:eastAsia="华文仿宋"/>
          <w:b w:val="0"/>
          <w:color w:val="000000"/>
          <w:sz w:val="28"/>
        </w:rPr>
        <w:t>。现三方基于真实意思表示，就项目名称更正事项达成如下补充协议：</w:t>
      </w:r>
    </w:p>
    <w:p>
      <w:pPr>
        <w:pStyle w:val="Heading1"/>
      </w:pPr>
      <w:r>
        <w:rPr>
          <w:rFonts w:ascii="华文仿宋" w:hAnsi="华文仿宋" w:eastAsia="华文仿宋"/>
          <w:b/>
          <w:color w:val="000000"/>
          <w:sz w:val="28"/>
        </w:rPr>
        <w:t>第一条  项目名称更正</w:t>
      </w:r>
    </w:p>
    <w:p>
      <w:pPr>
        <w:keepLines/>
        <w:widowControl/>
        <w:spacing w:before="0" w:after="80" w:line="276" w:lineRule="auto"/>
        <w:ind w:firstLine="560"/>
        <w:jc w:val="both"/>
      </w:pPr>
      <w:r>
        <w:rPr>
          <w:rFonts w:ascii="华文仿宋" w:hAnsi="华文仿宋" w:eastAsia="华文仿宋"/>
          <w:b w:val="0"/>
          <w:color w:val="000000"/>
          <w:sz w:val="28"/>
        </w:rPr>
        <w:t>三方一致确认：原协议、乙方平台相应订单及《项目确认单》中载明的项目名称，由“</w:t>
      </w:r>
      <w:r>
        <w:rPr>
          <w:rFonts w:ascii="华文仿宋" w:hAnsi="华文仿宋" w:eastAsia="华文仿宋"/>
          <w:b/>
          <w:color w:val="000000"/>
          <w:sz w:val="28"/>
        </w:rPr>
        <w:t>【错误项目名称】</w:t>
      </w:r>
      <w:r>
        <w:rPr>
          <w:rFonts w:ascii="华文仿宋" w:hAnsi="华文仿宋" w:eastAsia="华文仿宋"/>
          <w:b w:val="0"/>
          <w:color w:val="000000"/>
          <w:sz w:val="28"/>
        </w:rPr>
        <w:t>”更正为“</w:t>
      </w:r>
      <w:r>
        <w:rPr>
          <w:rFonts w:ascii="华文仿宋" w:hAnsi="华文仿宋" w:eastAsia="华文仿宋"/>
          <w:b/>
          <w:color w:val="000000"/>
          <w:sz w:val="28"/>
        </w:rPr>
        <w:t>【正确项目名称】</w:t>
      </w:r>
      <w:r>
        <w:rPr>
          <w:rFonts w:ascii="华文仿宋" w:hAnsi="华文仿宋" w:eastAsia="华文仿宋"/>
          <w:b w:val="0"/>
          <w:color w:val="000000"/>
          <w:sz w:val="28"/>
        </w:rPr>
        <w:t>”。自本补充协议生效之日起，前述文件中涉及项目名称的表述均以更正后的项目名称为准。</w:t>
      </w:r>
    </w:p>
    <w:p>
      <w:pPr>
        <w:pStyle w:val="Heading1"/>
      </w:pPr>
      <w:r>
        <w:rPr>
          <w:rFonts w:ascii="华文仿宋" w:hAnsi="华文仿宋" w:eastAsia="华文仿宋"/>
          <w:b/>
          <w:color w:val="000000"/>
          <w:sz w:val="28"/>
        </w:rPr>
        <w:t>第二条  其他事项不变</w:t>
      </w:r>
    </w:p>
    <w:p>
      <w:pPr>
        <w:keepLines/>
        <w:widowControl/>
        <w:spacing w:before="0" w:after="80" w:line="276" w:lineRule="auto"/>
        <w:ind w:firstLine="560"/>
        <w:jc w:val="both"/>
      </w:pPr>
      <w:r>
        <w:rPr>
          <w:rFonts w:ascii="华文仿宋" w:hAnsi="华文仿宋" w:eastAsia="华文仿宋"/>
          <w:b w:val="0"/>
          <w:color w:val="000000"/>
          <w:sz w:val="28"/>
        </w:rPr>
        <w:t>本次更正仅涉及项目名称，不构成新的授权或新的订单，不改变原协议项下已经生效的授权范围、授权期限、费用以及三方其他权利义务。</w:t>
      </w:r>
    </w:p>
    <w:p>
      <w:pPr>
        <w:pStyle w:val="Heading1"/>
      </w:pPr>
      <w:r>
        <w:rPr>
          <w:rFonts w:ascii="华文仿宋" w:hAnsi="华文仿宋" w:eastAsia="华文仿宋"/>
          <w:b/>
          <w:color w:val="000000"/>
          <w:sz w:val="28"/>
        </w:rPr>
        <w:t>第三条  协议效力</w:t>
      </w:r>
    </w:p>
    <w:p>
      <w:pPr>
        <w:keepLines/>
        <w:widowControl/>
        <w:spacing w:before="0" w:after="80" w:line="276" w:lineRule="auto"/>
        <w:ind w:firstLine="560"/>
        <w:jc w:val="both"/>
      </w:pPr>
      <w:r>
        <w:rPr>
          <w:rFonts w:ascii="华文仿宋" w:hAnsi="华文仿宋" w:eastAsia="华文仿宋"/>
          <w:b w:val="0"/>
          <w:color w:val="000000"/>
          <w:sz w:val="28"/>
        </w:rPr>
        <w:t>本补充协议为原协议不可分割的组成部分，与原协议具有同等法律效力。仅就项目名称不一致之处，以本补充协议为准；其他事项仍按原协议、相应平台订单及《项目确认单》执行。</w:t>
      </w:r>
    </w:p>
    <w:p>
      <w:pPr>
        <w:pStyle w:val="Heading1"/>
      </w:pPr>
      <w:r>
        <w:rPr>
          <w:rFonts w:ascii="华文仿宋" w:hAnsi="华文仿宋" w:eastAsia="华文仿宋"/>
          <w:b/>
          <w:color w:val="000000"/>
          <w:sz w:val="28"/>
        </w:rPr>
        <w:t>第四条  签署与生效</w:t>
      </w:r>
    </w:p>
    <w:p>
      <w:pPr>
        <w:keepLines/>
        <w:widowControl/>
        <w:spacing w:before="0" w:after="160" w:line="276" w:lineRule="auto"/>
        <w:ind w:firstLine="560"/>
        <w:jc w:val="both"/>
      </w:pPr>
      <w:r>
        <w:rPr>
          <w:rFonts w:ascii="华文仿宋" w:hAnsi="华文仿宋" w:eastAsia="华文仿宋"/>
          <w:b w:val="0"/>
          <w:color w:val="000000"/>
          <w:sz w:val="28"/>
        </w:rPr>
        <w:t>本补充协议采用电子方式签署，甲、乙、丙三方通过乙方指定的电子签署方式完成签署之日生效。电子文本及相应签署记录均为本补充协议的组成部分。</w:t>
      </w:r>
    </w:p>
    <w:p>
      <w:pPr>
        <w:keepNext/>
        <w:keepLines/>
        <w:widowControl/>
        <w:spacing w:before="0" w:after="120" w:line="276" w:lineRule="auto"/>
        <w:ind w:firstLine="0"/>
        <w:jc w:val="center"/>
      </w:pPr>
      <w:r>
        <w:rPr>
          <w:rFonts w:ascii="华文仿宋" w:hAnsi="华文仿宋" w:eastAsia="华文仿宋"/>
          <w:color w:val="000000"/>
          <w:sz w:val="24"/>
        </w:rPr>
        <w:t>（以下为电子签署栏，无正文）</w:t>
      </w:r>
    </w:p>
    <w:tbl>
      <w:tblPr>
        <w:tblW w:type="dxa" w:w="8064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</w:tblPr>
      <w:tblGrid>
        <w:gridCol w:w="2688"/>
        <w:gridCol w:w="2688"/>
        <w:gridCol w:w="2688"/>
      </w:tblGrid>
      <w:tr>
        <w:trPr>
          <w:tblHeader w:val="true"/>
          <w:cantSplit/>
        </w:trPr>
        <w:tc>
          <w:tcPr>
            <w:tcW w:type="dxa" w:w="268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keepLines/>
              <w:widowControl/>
              <w:spacing w:before="0" w:after="0" w:line="276" w:lineRule="auto"/>
              <w:ind w:firstLine="0"/>
              <w:jc w:val="center"/>
            </w:pPr>
            <w:r>
              <w:rPr>
                <w:rFonts w:ascii="华文仿宋" w:hAnsi="华文仿宋" w:eastAsia="华文仿宋"/>
                <w:b/>
                <w:color w:val="000000"/>
                <w:sz w:val="25"/>
              </w:rPr>
              <w:t>甲方（人像使用方）</w:t>
            </w:r>
          </w:p>
        </w:tc>
        <w:tc>
          <w:tcPr>
            <w:tcW w:type="dxa" w:w="268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keepLines/>
              <w:widowControl/>
              <w:spacing w:before="0" w:after="0" w:line="276" w:lineRule="auto"/>
              <w:ind w:firstLine="0"/>
              <w:jc w:val="center"/>
            </w:pPr>
            <w:r>
              <w:rPr>
                <w:rFonts w:ascii="华文仿宋" w:hAnsi="华文仿宋" w:eastAsia="华文仿宋"/>
                <w:b/>
                <w:color w:val="000000"/>
                <w:sz w:val="25"/>
              </w:rPr>
              <w:t>乙方（平台方）</w:t>
            </w:r>
          </w:p>
        </w:tc>
        <w:tc>
          <w:tcPr>
            <w:tcW w:type="dxa" w:w="268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keepLines/>
              <w:widowControl/>
              <w:spacing w:before="0" w:after="0" w:line="276" w:lineRule="auto"/>
              <w:ind w:firstLine="0"/>
              <w:jc w:val="center"/>
            </w:pPr>
            <w:r>
              <w:rPr>
                <w:rFonts w:ascii="华文仿宋" w:hAnsi="华文仿宋" w:eastAsia="华文仿宋"/>
                <w:b/>
                <w:color w:val="000000"/>
                <w:sz w:val="25"/>
              </w:rPr>
              <w:t>丙方（人像授权方）</w:t>
            </w:r>
          </w:p>
        </w:tc>
      </w:tr>
      <w:tr>
        <w:trPr>
          <w:cantSplit/>
        </w:trPr>
        <w:tc>
          <w:tcPr>
            <w:tcW w:type="dxa" w:w="268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keepLines/>
              <w:widowControl/>
              <w:spacing w:before="0" w:after="0" w:line="276" w:lineRule="auto"/>
              <w:ind w:firstLine="0"/>
              <w:jc w:val="left"/>
            </w:pPr>
            <w:r>
              <w:rPr>
                <w:rFonts w:ascii="华文仿宋" w:hAnsi="华文仿宋" w:eastAsia="华文仿宋"/>
                <w:color w:val="000000"/>
                <w:sz w:val="24"/>
              </w:rPr>
              <w:t>电子签署：</w:t>
              <w:br/>
              <w:br/>
              <w:t>签署日期：</w:t>
            </w:r>
          </w:p>
        </w:tc>
        <w:tc>
          <w:tcPr>
            <w:tcW w:type="dxa" w:w="268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keepLines/>
              <w:widowControl/>
              <w:spacing w:before="0" w:after="0" w:line="276" w:lineRule="auto"/>
              <w:ind w:firstLine="0"/>
              <w:jc w:val="left"/>
            </w:pPr>
            <w:r>
              <w:rPr>
                <w:rFonts w:ascii="华文仿宋" w:hAnsi="华文仿宋" w:eastAsia="华文仿宋"/>
                <w:color w:val="000000"/>
                <w:sz w:val="24"/>
              </w:rPr>
              <w:t>电子签署：</w:t>
              <w:br/>
              <w:br/>
              <w:t>签署日期：</w:t>
            </w:r>
          </w:p>
        </w:tc>
        <w:tc>
          <w:tcPr>
            <w:tcW w:type="dxa" w:w="268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keepLines/>
              <w:widowControl/>
              <w:spacing w:before="0" w:after="0" w:line="276" w:lineRule="auto"/>
              <w:ind w:firstLine="0"/>
              <w:jc w:val="left"/>
            </w:pPr>
            <w:r>
              <w:rPr>
                <w:rFonts w:ascii="华文仿宋" w:hAnsi="华文仿宋" w:eastAsia="华文仿宋"/>
                <w:color w:val="000000"/>
                <w:sz w:val="24"/>
              </w:rPr>
              <w:t>电子签署：</w:t>
              <w:br/>
              <w:br/>
              <w:t>签署日期：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440" w:right="1800" w:bottom="1440" w:left="1800" w:header="540" w:footer="6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>
      <w:rPr>
        <w:rFonts w:ascii="华文仿宋" w:hAnsi="华文仿宋" w:eastAsia="华文仿宋"/>
        <w:color w:val="606060"/>
        <w:sz w:val="19"/>
      </w:rPr>
      <w:t>签署日期以电子签署平台记录为准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76" w:lineRule="auto"/>
      <w:ind w:firstLine="560"/>
      <w:jc w:val="both"/>
    </w:pPr>
    <w:rPr>
      <w:rFonts w:ascii="华文仿宋" w:hAnsi="华文仿宋" w:eastAsia="华文仿宋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60" w:line="276" w:lineRule="auto"/>
      <w:ind w:left="0" w:firstLine="0"/>
      <w:jc w:val="left"/>
      <w:outlineLvl w:val="0"/>
    </w:pPr>
    <w:rPr>
      <w:rFonts w:asciiTheme="majorHAnsi" w:eastAsiaTheme="majorEastAsia" w:hAnsiTheme="majorHAnsi" w:cstheme="majorBidi" w:ascii="华文仿宋" w:hAnsi="华文仿宋" w:eastAsia="华文仿宋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6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 w:ascii="华文仿宋" w:hAnsi="华文仿宋" w:eastAsia="华文仿宋"/>
      <w:b/>
      <w:bCs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40" w:after="60" w:line="276" w:lineRule="auto"/>
      <w:ind w:left="0" w:firstLine="0"/>
      <w:jc w:val="left"/>
      <w:outlineLvl w:val="2"/>
    </w:pPr>
    <w:rPr>
      <w:rFonts w:asciiTheme="majorHAnsi" w:eastAsiaTheme="majorEastAsia" w:hAnsiTheme="majorHAnsi" w:cstheme="majorBidi" w:ascii="华文仿宋" w:hAnsi="华文仿宋" w:eastAsia="华文仿宋"/>
      <w:b/>
      <w:bCs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40" w:line="240" w:lineRule="auto" w:before="0"/>
      <w:contextualSpacing/>
      <w:jc w:val="center"/>
    </w:pPr>
    <w:rPr>
      <w:rFonts w:asciiTheme="majorHAnsi" w:eastAsiaTheme="majorEastAsia" w:hAnsiTheme="majorHAnsi" w:cstheme="majorBidi" w:ascii="黑体" w:hAnsi="黑体" w:eastAsia="黑体"/>
      <w:b/>
      <w:color w:val="000000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人像资产授权项目名称更正补充协议</dc:title>
  <dc:subject>项目名称更正及三方电子签署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